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047" w:rsidRPr="00DE177D" w:rsidRDefault="00B21047" w:rsidP="00B21047">
      <w:pPr>
        <w:pStyle w:val="DefaultText"/>
        <w:tabs>
          <w:tab w:val="left" w:pos="2160"/>
          <w:tab w:val="left" w:pos="2880"/>
          <w:tab w:val="left" w:pos="4320"/>
          <w:tab w:val="left" w:pos="5760"/>
        </w:tabs>
        <w:ind w:right="54"/>
        <w:jc w:val="center"/>
        <w:outlineLvl w:val="0"/>
        <w:rPr>
          <w:rFonts w:asciiTheme="minorHAnsi" w:hAnsiTheme="minorHAnsi" w:cstheme="minorHAnsi"/>
          <w:b/>
          <w:szCs w:val="22"/>
        </w:rPr>
      </w:pPr>
      <w:r w:rsidRPr="00DE177D">
        <w:rPr>
          <w:rFonts w:asciiTheme="minorHAnsi" w:hAnsiTheme="minorHAnsi" w:cstheme="minorHAnsi"/>
          <w:b/>
          <w:szCs w:val="22"/>
        </w:rPr>
        <w:t>RESOLUTION NO.  ________</w:t>
      </w:r>
    </w:p>
    <w:p w:rsidR="00B21047" w:rsidRPr="00DE177D" w:rsidRDefault="00B21047" w:rsidP="00B21047">
      <w:pPr>
        <w:pStyle w:val="DefaultText"/>
        <w:tabs>
          <w:tab w:val="left" w:pos="2160"/>
          <w:tab w:val="left" w:pos="2880"/>
          <w:tab w:val="left" w:pos="4320"/>
          <w:tab w:val="left" w:pos="5760"/>
        </w:tabs>
        <w:ind w:right="54"/>
        <w:jc w:val="center"/>
        <w:outlineLvl w:val="0"/>
        <w:rPr>
          <w:rFonts w:asciiTheme="minorHAnsi" w:hAnsiTheme="minorHAnsi" w:cstheme="minorHAnsi"/>
          <w:b/>
          <w:szCs w:val="22"/>
        </w:rPr>
      </w:pPr>
    </w:p>
    <w:p w:rsidR="007C4C7E" w:rsidRPr="00DE177D" w:rsidRDefault="00B21047" w:rsidP="00B613C4">
      <w:pPr>
        <w:pStyle w:val="DefaultText"/>
        <w:tabs>
          <w:tab w:val="left" w:pos="1440"/>
          <w:tab w:val="left" w:pos="2160"/>
          <w:tab w:val="left" w:pos="2880"/>
          <w:tab w:val="left" w:pos="4320"/>
          <w:tab w:val="left" w:pos="5760"/>
        </w:tabs>
        <w:jc w:val="center"/>
        <w:outlineLvl w:val="0"/>
        <w:rPr>
          <w:rFonts w:asciiTheme="minorHAnsi" w:hAnsiTheme="minorHAnsi" w:cstheme="minorHAnsi"/>
          <w:szCs w:val="22"/>
        </w:rPr>
      </w:pPr>
      <w:r w:rsidRPr="00DE177D">
        <w:rPr>
          <w:rFonts w:asciiTheme="minorHAnsi" w:hAnsiTheme="minorHAnsi" w:cstheme="minorHAnsi"/>
          <w:szCs w:val="22"/>
        </w:rPr>
        <w:t>A resolution of [Entity] of the [Jurisdiction Name] supporting product stewardship systems for leftover paint to provide stable financing, increased recycling and resource recovery, and reduced environmental and health impacts.</w:t>
      </w:r>
      <w:r w:rsidR="007C4C7E" w:rsidRPr="00DE177D">
        <w:rPr>
          <w:rFonts w:asciiTheme="minorHAnsi" w:hAnsiTheme="minorHAnsi" w:cstheme="minorHAnsi"/>
          <w:szCs w:val="22"/>
        </w:rPr>
        <w:t xml:space="preserve"> </w:t>
      </w:r>
    </w:p>
    <w:p w:rsidR="00B21047" w:rsidRPr="00DE177D" w:rsidRDefault="00B21047" w:rsidP="00B613C4">
      <w:pPr>
        <w:pStyle w:val="DefaultText"/>
        <w:tabs>
          <w:tab w:val="left" w:pos="1440"/>
          <w:tab w:val="left" w:pos="2160"/>
          <w:tab w:val="left" w:pos="2880"/>
          <w:tab w:val="left" w:pos="4320"/>
          <w:tab w:val="left" w:pos="5760"/>
        </w:tabs>
        <w:jc w:val="center"/>
        <w:outlineLvl w:val="0"/>
        <w:rPr>
          <w:sz w:val="22"/>
          <w:szCs w:val="22"/>
        </w:rPr>
      </w:pPr>
    </w:p>
    <w:p w:rsidR="00681452" w:rsidRDefault="00681452" w:rsidP="00B613C4">
      <w:pPr>
        <w:spacing w:line="240" w:lineRule="auto"/>
        <w:rPr>
          <w:b/>
        </w:rPr>
      </w:pPr>
    </w:p>
    <w:p w:rsidR="00681452" w:rsidRDefault="00681452" w:rsidP="00216172">
      <w:pPr>
        <w:spacing w:line="240" w:lineRule="auto"/>
      </w:pPr>
      <w:r w:rsidRPr="00DE177D">
        <w:rPr>
          <w:b/>
        </w:rPr>
        <w:t xml:space="preserve">WHEREAS </w:t>
      </w:r>
      <w:r w:rsidRPr="00DE177D">
        <w:t>paint is the second largest waste stream, behind used oil, collected at hazardous waste facilities in Washington State and only 3</w:t>
      </w:r>
      <w:r>
        <w:t>8</w:t>
      </w:r>
      <w:r w:rsidRPr="00DE177D">
        <w:t>% of available leftover paint</w:t>
      </w:r>
      <w:r w:rsidRPr="00DE177D">
        <w:rPr>
          <w:rStyle w:val="EndnoteReference"/>
        </w:rPr>
        <w:endnoteReference w:id="1"/>
      </w:r>
      <w:r w:rsidRPr="00DE177D">
        <w:t xml:space="preserve"> or 507,235 gallons of paint were collected in 2010; and</w:t>
      </w:r>
      <w:r w:rsidR="00E909E2">
        <w:tab/>
      </w:r>
    </w:p>
    <w:p w:rsidR="00C9025D" w:rsidRPr="00DE177D" w:rsidRDefault="00C9025D" w:rsidP="00216172">
      <w:pPr>
        <w:spacing w:line="240" w:lineRule="auto"/>
      </w:pPr>
      <w:bookmarkStart w:id="0" w:name="_GoBack"/>
      <w:bookmarkEnd w:id="0"/>
      <w:r>
        <w:rPr>
          <w:b/>
        </w:rPr>
        <w:t>WHEREAS</w:t>
      </w:r>
      <w:r>
        <w:t xml:space="preserve"> the reduction and recycling of paint follow the state’s waste management </w:t>
      </w:r>
      <w:r w:rsidR="00105127">
        <w:t>hierarchy</w:t>
      </w:r>
      <w:r>
        <w:rPr>
          <w:rStyle w:val="EndnoteReference"/>
        </w:rPr>
        <w:endnoteReference w:id="2"/>
      </w:r>
      <w:r>
        <w:t xml:space="preserve">; </w:t>
      </w:r>
      <w:r w:rsidRPr="00DE177D">
        <w:t>and</w:t>
      </w:r>
    </w:p>
    <w:p w:rsidR="003B7EC9" w:rsidRPr="00DE177D" w:rsidRDefault="003B7EC9" w:rsidP="00216172">
      <w:pPr>
        <w:spacing w:after="0" w:line="240" w:lineRule="auto"/>
      </w:pPr>
      <w:r w:rsidRPr="00DE177D">
        <w:rPr>
          <w:b/>
        </w:rPr>
        <w:t>WHEREAS</w:t>
      </w:r>
      <w:r w:rsidR="00287EC7" w:rsidRPr="00DE177D">
        <w:t xml:space="preserve"> oil-based paints are</w:t>
      </w:r>
      <w:r w:rsidRPr="00DE177D">
        <w:t xml:space="preserve"> toxic, can harm fish and wildlife, can pollute groundwater if dumped</w:t>
      </w:r>
      <w:r w:rsidR="00012F83">
        <w:rPr>
          <w:rStyle w:val="EndnoteReference"/>
        </w:rPr>
        <w:endnoteReference w:id="3"/>
      </w:r>
      <w:r w:rsidRPr="00DE177D">
        <w:t xml:space="preserve">, </w:t>
      </w:r>
      <w:r w:rsidR="002475E4">
        <w:t xml:space="preserve">and </w:t>
      </w:r>
      <w:r w:rsidRPr="00DE177D">
        <w:t>contain volatile organic compounds (VOCs) that can irritate eyes, skin, and lungs</w:t>
      </w:r>
      <w:r w:rsidR="002475E4">
        <w:t>,</w:t>
      </w:r>
      <w:r w:rsidRPr="00DE177D">
        <w:t xml:space="preserve"> cause headaches and nausea, and can contribute to asthma</w:t>
      </w:r>
      <w:r w:rsidR="002475E4">
        <w:t xml:space="preserve"> or other respiratory problems</w:t>
      </w:r>
      <w:r w:rsidR="002475E4">
        <w:rPr>
          <w:rStyle w:val="EndnoteReference"/>
        </w:rPr>
        <w:endnoteReference w:id="4"/>
      </w:r>
      <w:r w:rsidR="002475E4">
        <w:t xml:space="preserve">, </w:t>
      </w:r>
      <w:r w:rsidRPr="00DE177D">
        <w:t>muscle weakne</w:t>
      </w:r>
      <w:r w:rsidR="00F97BE6" w:rsidRPr="00DE177D">
        <w:t>ss, and liver and kidney damage</w:t>
      </w:r>
      <w:r w:rsidR="0095273D">
        <w:rPr>
          <w:rStyle w:val="EndnoteReference"/>
        </w:rPr>
        <w:endnoteReference w:id="5"/>
      </w:r>
      <w:r w:rsidR="002475E4">
        <w:t>;</w:t>
      </w:r>
      <w:r w:rsidRPr="00DE177D">
        <w:t xml:space="preserve"> and</w:t>
      </w:r>
    </w:p>
    <w:p w:rsidR="003B7EC9" w:rsidRPr="00DE177D" w:rsidRDefault="003B7EC9" w:rsidP="00216172">
      <w:pPr>
        <w:spacing w:after="0" w:line="240" w:lineRule="auto"/>
      </w:pPr>
    </w:p>
    <w:p w:rsidR="00127275" w:rsidRPr="00DE177D" w:rsidRDefault="007C4C7E" w:rsidP="00216172">
      <w:pPr>
        <w:spacing w:line="240" w:lineRule="auto"/>
      </w:pPr>
      <w:r w:rsidRPr="00DE177D">
        <w:rPr>
          <w:b/>
        </w:rPr>
        <w:t>WHEREAS</w:t>
      </w:r>
      <w:r w:rsidRPr="00DE177D">
        <w:t xml:space="preserve"> </w:t>
      </w:r>
      <w:r w:rsidR="00127275" w:rsidRPr="00DE177D">
        <w:t>10% of purchased paint becomes leftover waste paint</w:t>
      </w:r>
      <w:r w:rsidR="00D2455B" w:rsidRPr="00DE177D">
        <w:rPr>
          <w:rStyle w:val="EndnoteReference"/>
        </w:rPr>
        <w:endnoteReference w:id="6"/>
      </w:r>
      <w:r w:rsidR="00127275" w:rsidRPr="00DE177D">
        <w:t>, resulting in 1.</w:t>
      </w:r>
      <w:r w:rsidR="00BF5D97">
        <w:t>3</w:t>
      </w:r>
      <w:r w:rsidR="00127275" w:rsidRPr="00DE177D">
        <w:t xml:space="preserve">4 million gallons of </w:t>
      </w:r>
      <w:r w:rsidR="003B7EC9" w:rsidRPr="00DE177D">
        <w:t xml:space="preserve">leftover </w:t>
      </w:r>
      <w:r w:rsidR="00127275" w:rsidRPr="00DE177D">
        <w:t>paint in Washington in 2010</w:t>
      </w:r>
      <w:r w:rsidR="001529C6" w:rsidRPr="00DE177D">
        <w:rPr>
          <w:rStyle w:val="EndnoteReference"/>
        </w:rPr>
        <w:endnoteReference w:id="7"/>
      </w:r>
      <w:r w:rsidR="00F97BE6" w:rsidRPr="00DE177D">
        <w:t>;</w:t>
      </w:r>
      <w:r w:rsidR="00127275" w:rsidRPr="00DE177D">
        <w:t xml:space="preserve"> and</w:t>
      </w:r>
    </w:p>
    <w:p w:rsidR="008430C2" w:rsidRPr="00DE177D" w:rsidRDefault="008430C2" w:rsidP="00216172">
      <w:pPr>
        <w:spacing w:line="240" w:lineRule="auto"/>
      </w:pPr>
      <w:r w:rsidRPr="00DE177D">
        <w:rPr>
          <w:b/>
        </w:rPr>
        <w:t>WHEREAS</w:t>
      </w:r>
      <w:r w:rsidRPr="00DE177D">
        <w:t xml:space="preserve"> only 28 percent of leftover latex paint collected in Washington in 2011 was recycled, and </w:t>
      </w:r>
      <w:r>
        <w:t>60</w:t>
      </w:r>
      <w:r w:rsidRPr="00DE177D">
        <w:t xml:space="preserve"> percent of state residents had no access to latex collection</w:t>
      </w:r>
      <w:r w:rsidRPr="00DE177D">
        <w:rPr>
          <w:rStyle w:val="EndnoteReference"/>
        </w:rPr>
        <w:endnoteReference w:id="8"/>
      </w:r>
      <w:r w:rsidRPr="00DE177D">
        <w:t>; and</w:t>
      </w:r>
    </w:p>
    <w:p w:rsidR="0043287A" w:rsidRPr="0043287A" w:rsidRDefault="0043287A" w:rsidP="00216172">
      <w:pPr>
        <w:spacing w:line="240" w:lineRule="auto"/>
      </w:pPr>
      <w:r w:rsidRPr="0043287A">
        <w:rPr>
          <w:b/>
        </w:rPr>
        <w:t>WHEREAS</w:t>
      </w:r>
      <w:r>
        <w:rPr>
          <w:b/>
        </w:rPr>
        <w:t xml:space="preserve"> </w:t>
      </w:r>
      <w:r>
        <w:t xml:space="preserve">in 2009 King County stopped collecting latex paint but continues to collect oil-based paint at its Household Hazardous Waste facilities. Residents are asked to dry out their latex paint and dispose of it in the landfill. A 2013 King County Waste Characterization study estimated that 1,326 tons of latex paint was disposed of in the county’s landfill at a time when we are trying to extend the life of the landfill; and </w:t>
      </w:r>
    </w:p>
    <w:p w:rsidR="006F624A" w:rsidRPr="00DE177D" w:rsidRDefault="006F624A" w:rsidP="00216172">
      <w:pPr>
        <w:spacing w:line="240" w:lineRule="auto"/>
      </w:pPr>
      <w:r w:rsidRPr="00DE177D">
        <w:rPr>
          <w:b/>
        </w:rPr>
        <w:t>WHEREAS</w:t>
      </w:r>
      <w:r w:rsidRPr="00DE177D">
        <w:t xml:space="preserve"> leftover latex paint can be made into recycled-content paint, reducing the raw materials needed to produce virgin paints, and the energy required to extract those materials and manufacture new paint</w:t>
      </w:r>
      <w:r w:rsidR="00771329">
        <w:t xml:space="preserve">; </w:t>
      </w:r>
      <w:r w:rsidRPr="00DE177D">
        <w:t>and</w:t>
      </w:r>
    </w:p>
    <w:p w:rsidR="0043287A" w:rsidRPr="0043287A" w:rsidRDefault="0043287A" w:rsidP="00216172">
      <w:pPr>
        <w:spacing w:line="240" w:lineRule="auto"/>
      </w:pPr>
      <w:r>
        <w:rPr>
          <w:b/>
        </w:rPr>
        <w:t>WHEREAS</w:t>
      </w:r>
      <w:r>
        <w:t xml:space="preserve"> in 2013, King County collected 392,650 gallons of oil-based paint at a cost of $152,164; and</w:t>
      </w:r>
    </w:p>
    <w:p w:rsidR="00F97BE6" w:rsidRPr="00DE177D" w:rsidRDefault="00F97BE6" w:rsidP="00216172">
      <w:pPr>
        <w:spacing w:line="240" w:lineRule="auto"/>
      </w:pPr>
      <w:r w:rsidRPr="00DE177D">
        <w:rPr>
          <w:b/>
        </w:rPr>
        <w:t xml:space="preserve">WHEREAS </w:t>
      </w:r>
      <w:r w:rsidRPr="00DE177D">
        <w:t>Product Stewardship</w:t>
      </w:r>
      <w:r w:rsidR="00852F8B">
        <w:t xml:space="preserve">, also known as Extended Producer Responsibility (EPR), </w:t>
      </w:r>
      <w:r w:rsidRPr="00DE177D">
        <w:t xml:space="preserve"> is a policy approach that shifts financial and physical responsibility for end-of-life management of consumer products from local governments to those who benefit economically from the sale of the products they produce and to those who use the products; and </w:t>
      </w:r>
    </w:p>
    <w:p w:rsidR="00F97BE6" w:rsidRPr="00DE177D" w:rsidRDefault="00F97BE6" w:rsidP="00216172">
      <w:pPr>
        <w:spacing w:line="240" w:lineRule="auto"/>
        <w:rPr>
          <w:b/>
        </w:rPr>
      </w:pPr>
      <w:r w:rsidRPr="00DE177D">
        <w:rPr>
          <w:b/>
        </w:rPr>
        <w:t xml:space="preserve">WHEREAS </w:t>
      </w:r>
      <w:r w:rsidRPr="00DE177D">
        <w:t xml:space="preserve">when producers are responsible for ensuring their products are reused or recycled or disposed of </w:t>
      </w:r>
      <w:r w:rsidR="00086AEB" w:rsidRPr="00DE177D">
        <w:t>responsibly and</w:t>
      </w:r>
      <w:r w:rsidRPr="00DE177D">
        <w:t xml:space="preserve"> when health and environmental costs are included in the product price, there is an incentive to design products that are more durable, easier to repair and recycle, and less toxic; and</w:t>
      </w:r>
    </w:p>
    <w:p w:rsidR="0045457E" w:rsidRPr="00DE177D" w:rsidRDefault="00433A06" w:rsidP="00216172">
      <w:pPr>
        <w:spacing w:line="240" w:lineRule="auto"/>
      </w:pPr>
      <w:r w:rsidRPr="00DE177D">
        <w:rPr>
          <w:b/>
        </w:rPr>
        <w:lastRenderedPageBreak/>
        <w:t>WHEREAS</w:t>
      </w:r>
      <w:r w:rsidRPr="00DE177D">
        <w:t xml:space="preserve"> local and state government</w:t>
      </w:r>
      <w:r w:rsidR="00845B86">
        <w:t>s</w:t>
      </w:r>
      <w:r w:rsidRPr="00DE177D">
        <w:t xml:space="preserve"> have been in negotiation with paint manufacturers of the American Coatings Association (ACA) to </w:t>
      </w:r>
      <w:r w:rsidR="00F87623" w:rsidRPr="00DE177D">
        <w:t>reach agreement on</w:t>
      </w:r>
      <w:r w:rsidRPr="00DE177D">
        <w:t xml:space="preserve"> paint producer responsibility</w:t>
      </w:r>
      <w:r w:rsidR="00F97BE6" w:rsidRPr="00DE177D">
        <w:t xml:space="preserve"> </w:t>
      </w:r>
      <w:r w:rsidRPr="00DE177D">
        <w:t>since 2002, which lead to a Memorandum of Understanding</w:t>
      </w:r>
      <w:r w:rsidR="007206D2" w:rsidRPr="00DE177D">
        <w:rPr>
          <w:rStyle w:val="EndnoteReference"/>
        </w:rPr>
        <w:endnoteReference w:id="9"/>
      </w:r>
      <w:r w:rsidRPr="00DE177D">
        <w:t xml:space="preserve"> </w:t>
      </w:r>
      <w:r w:rsidR="0045457E" w:rsidRPr="00DE177D">
        <w:t>signed by the Washington Department of Ecology,  Be</w:t>
      </w:r>
      <w:r w:rsidR="00287EC7" w:rsidRPr="00DE177D">
        <w:t xml:space="preserve">nton-Franklin Health Department, </w:t>
      </w:r>
      <w:r w:rsidR="0045457E" w:rsidRPr="00DE177D">
        <w:t>City of Walla Walla, City of Spokane, Solid Waste Department, City of Vancouver, Solid Waste Division, Clark County, Cowlitz County Public Works, Grays Harbor County, King County Solid Waste Division, Kitsap County Solid Waste Division, Lincoln County Public Works, Pend Oreille County, Snohomish County Solid Waste Division, The Local Hazardous Waste Management Program in King County, Whatcom County Executive, Whitman County Solid Waste Department, Yakima County Solid Waste</w:t>
      </w:r>
      <w:r w:rsidR="00F97BE6" w:rsidRPr="00DE177D">
        <w:t xml:space="preserve">; and </w:t>
      </w:r>
    </w:p>
    <w:p w:rsidR="00FB537B" w:rsidRPr="00DE177D" w:rsidRDefault="00FB537B" w:rsidP="00216172">
      <w:pPr>
        <w:spacing w:line="240" w:lineRule="auto"/>
      </w:pPr>
      <w:r w:rsidRPr="00DE177D">
        <w:rPr>
          <w:b/>
        </w:rPr>
        <w:t xml:space="preserve">WHEREAS </w:t>
      </w:r>
      <w:r w:rsidRPr="00DE177D">
        <w:t xml:space="preserve">the American Coatings Association, representing </w:t>
      </w:r>
      <w:r w:rsidR="00287EC7" w:rsidRPr="00DE177D">
        <w:t xml:space="preserve"> both companies and professionals working in the paint and coatings industry,</w:t>
      </w:r>
      <w:r w:rsidRPr="00DE177D">
        <w:t xml:space="preserve"> support stewardship legislation requiring the paint manufacturers to finance and manage a paint stewardship program to recycle unwanted architectural paint and industry supported legislation has been enacted in Oregon, California, Connecticut, </w:t>
      </w:r>
      <w:r w:rsidR="00771329">
        <w:t xml:space="preserve">Vermont </w:t>
      </w:r>
      <w:r w:rsidRPr="00DE177D">
        <w:t xml:space="preserve">and Rhode Island; and   </w:t>
      </w:r>
    </w:p>
    <w:p w:rsidR="00FB537B" w:rsidRPr="00DE177D" w:rsidRDefault="00FB537B" w:rsidP="00216172">
      <w:pPr>
        <w:spacing w:line="240" w:lineRule="auto"/>
      </w:pPr>
      <w:r w:rsidRPr="00DE177D">
        <w:rPr>
          <w:b/>
        </w:rPr>
        <w:t xml:space="preserve">WHEREAS </w:t>
      </w:r>
      <w:r w:rsidRPr="00DE177D">
        <w:t xml:space="preserve">the American Coatings Association supports legislation in Washington so that similar </w:t>
      </w:r>
      <w:r w:rsidR="00845B86">
        <w:t xml:space="preserve">a </w:t>
      </w:r>
      <w:r w:rsidRPr="00DE177D">
        <w:t xml:space="preserve">product stewardship </w:t>
      </w:r>
      <w:r w:rsidR="00845B86">
        <w:t xml:space="preserve">system </w:t>
      </w:r>
      <w:r w:rsidRPr="00DE177D">
        <w:t xml:space="preserve">for paint can be implemented in Washington state; and   </w:t>
      </w:r>
    </w:p>
    <w:p w:rsidR="00D70D40" w:rsidRPr="00DE177D" w:rsidRDefault="00D70D40" w:rsidP="00216172">
      <w:pPr>
        <w:spacing w:line="240" w:lineRule="auto"/>
      </w:pPr>
      <w:r w:rsidRPr="00DE177D">
        <w:rPr>
          <w:b/>
        </w:rPr>
        <w:t xml:space="preserve">WHEREAS </w:t>
      </w:r>
      <w:r w:rsidRPr="00DE177D">
        <w:t>it is beneficial to local government, our citizens and</w:t>
      </w:r>
      <w:r w:rsidR="00287EC7" w:rsidRPr="00DE177D">
        <w:t xml:space="preserve"> our state</w:t>
      </w:r>
      <w:r w:rsidRPr="00DE177D">
        <w:t xml:space="preserve"> to support</w:t>
      </w:r>
      <w:r w:rsidR="00287EC7" w:rsidRPr="00DE177D">
        <w:t xml:space="preserve"> industry-driven initiatives that provide increased recycling and resource recovery, stable financing, and reduced environmental and health impacts; </w:t>
      </w:r>
    </w:p>
    <w:p w:rsidR="00A32A57" w:rsidRPr="00DE177D" w:rsidRDefault="007C4C7E" w:rsidP="00216172">
      <w:pPr>
        <w:spacing w:line="240" w:lineRule="auto"/>
      </w:pPr>
      <w:r w:rsidRPr="00DE177D">
        <w:rPr>
          <w:b/>
        </w:rPr>
        <w:t>NOW THEREFORE BE IT RESOLVED</w:t>
      </w:r>
      <w:r w:rsidRPr="00DE177D">
        <w:t xml:space="preserve"> that </w:t>
      </w:r>
      <w:r w:rsidR="001B4019" w:rsidRPr="00DE177D">
        <w:rPr>
          <w:b/>
        </w:rPr>
        <w:t>[Jurisdiction</w:t>
      </w:r>
      <w:r w:rsidRPr="00DE177D">
        <w:rPr>
          <w:b/>
        </w:rPr>
        <w:t xml:space="preserve"> Name]</w:t>
      </w:r>
      <w:r w:rsidRPr="00DE177D">
        <w:t xml:space="preserve"> supports </w:t>
      </w:r>
      <w:r w:rsidR="001B4019" w:rsidRPr="00DE177D">
        <w:t xml:space="preserve">policies and legislation that </w:t>
      </w:r>
      <w:r w:rsidR="00542BA1" w:rsidRPr="00DE177D">
        <w:t xml:space="preserve"> </w:t>
      </w:r>
      <w:r w:rsidR="001B4019" w:rsidRPr="00DE177D">
        <w:t xml:space="preserve">establish </w:t>
      </w:r>
      <w:r w:rsidRPr="00DE177D">
        <w:t xml:space="preserve">a convenient, safe, and environmentally sound </w:t>
      </w:r>
      <w:r w:rsidR="00485003" w:rsidRPr="00DE177D">
        <w:t>paint stewardship program</w:t>
      </w:r>
      <w:r w:rsidR="00B9684F" w:rsidRPr="00DE177D">
        <w:t xml:space="preserve"> in Washington State</w:t>
      </w:r>
      <w:r w:rsidRPr="00DE177D">
        <w:t xml:space="preserve"> </w:t>
      </w:r>
      <w:r w:rsidR="00F97BE6" w:rsidRPr="00DE177D">
        <w:t>that is finance</w:t>
      </w:r>
      <w:r w:rsidR="001B4019" w:rsidRPr="00DE177D">
        <w:t>d</w:t>
      </w:r>
      <w:r w:rsidR="00F97BE6" w:rsidRPr="00DE177D">
        <w:t xml:space="preserve"> by the paint manufacturers and </w:t>
      </w:r>
      <w:r w:rsidRPr="00DE177D">
        <w:t xml:space="preserve">covers the cost of collection, transportation, and </w:t>
      </w:r>
      <w:r w:rsidR="00485003" w:rsidRPr="00DE177D">
        <w:t>recycling</w:t>
      </w:r>
      <w:r w:rsidRPr="00DE177D">
        <w:t>, and does not rely on state and local government</w:t>
      </w:r>
      <w:r w:rsidR="0056274D" w:rsidRPr="00DE177D">
        <w:t xml:space="preserve"> </w:t>
      </w:r>
      <w:r w:rsidRPr="00DE177D">
        <w:t>funding.</w:t>
      </w:r>
    </w:p>
    <w:p w:rsidR="001B4019" w:rsidRPr="00DE177D" w:rsidRDefault="001B4019" w:rsidP="00216172">
      <w:pPr>
        <w:spacing w:line="240" w:lineRule="auto"/>
      </w:pPr>
      <w:r w:rsidRPr="00DE177D">
        <w:rPr>
          <w:b/>
        </w:rPr>
        <w:t>BE IT FURTHER RESOLVED</w:t>
      </w:r>
      <w:r w:rsidRPr="00DE177D">
        <w:t xml:space="preserve"> that the </w:t>
      </w:r>
      <w:r w:rsidRPr="00DE177D">
        <w:rPr>
          <w:b/>
        </w:rPr>
        <w:t>[Entity]</w:t>
      </w:r>
      <w:r w:rsidRPr="00DE177D">
        <w:t xml:space="preserve"> of </w:t>
      </w:r>
      <w:r w:rsidRPr="00DE177D">
        <w:rPr>
          <w:b/>
        </w:rPr>
        <w:t>[Jurisdiction]</w:t>
      </w:r>
      <w:r w:rsidRPr="00DE177D">
        <w:t xml:space="preserve"> be authorized to send letters to the State Legislature and State associations, and to use other advocacy methods to urge support for paint product stewardship legislation.</w:t>
      </w:r>
    </w:p>
    <w:p w:rsidR="001B4019" w:rsidRPr="00DE177D" w:rsidRDefault="001B4019" w:rsidP="00216172">
      <w:pPr>
        <w:spacing w:line="240" w:lineRule="auto"/>
      </w:pPr>
    </w:p>
    <w:p w:rsidR="001B4019" w:rsidRDefault="001B4019" w:rsidP="00B613C4">
      <w:pPr>
        <w:spacing w:line="240" w:lineRule="auto"/>
      </w:pPr>
      <w:r w:rsidRPr="00DE177D">
        <w:rPr>
          <w:b/>
        </w:rPr>
        <w:t>PASSED AND ADOPTED</w:t>
      </w:r>
      <w:r w:rsidRPr="00DE177D">
        <w:t xml:space="preserve"> by the [Entity] of [Jurisdiction], State of _______ on _____________________________ by the following vote:</w:t>
      </w:r>
      <w:r>
        <w:br/>
      </w:r>
    </w:p>
    <w:p w:rsidR="001B4019" w:rsidRDefault="001B4019" w:rsidP="007C4C7E"/>
    <w:sectPr w:rsidR="001B4019" w:rsidSect="003A7D68">
      <w:headerReference w:type="even" r:id="rId8"/>
      <w:headerReference w:type="default" r:id="rId9"/>
      <w:footerReference w:type="default" r:id="rId10"/>
      <w:headerReference w:type="firs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141" w:rsidRDefault="00544141" w:rsidP="00085928">
      <w:pPr>
        <w:spacing w:after="0" w:line="240" w:lineRule="auto"/>
      </w:pPr>
      <w:r>
        <w:separator/>
      </w:r>
    </w:p>
  </w:endnote>
  <w:endnote w:type="continuationSeparator" w:id="0">
    <w:p w:rsidR="00544141" w:rsidRDefault="00544141" w:rsidP="00085928">
      <w:pPr>
        <w:spacing w:after="0" w:line="240" w:lineRule="auto"/>
      </w:pPr>
      <w:r>
        <w:continuationSeparator/>
      </w:r>
    </w:p>
  </w:endnote>
  <w:endnote w:id="1">
    <w:p w:rsidR="00681452" w:rsidRPr="00F14BEA" w:rsidRDefault="00681452" w:rsidP="00681452">
      <w:pPr>
        <w:pStyle w:val="EndnoteText"/>
        <w:tabs>
          <w:tab w:val="left" w:pos="180"/>
        </w:tabs>
        <w:ind w:left="180" w:hanging="180"/>
      </w:pPr>
      <w:r w:rsidRPr="00F14BEA">
        <w:rPr>
          <w:rStyle w:val="EndnoteReference"/>
        </w:rPr>
        <w:endnoteRef/>
      </w:r>
      <w:r w:rsidRPr="00F14BEA">
        <w:t xml:space="preserve"> </w:t>
      </w:r>
      <w:r w:rsidRPr="00F14BEA">
        <w:tab/>
      </w:r>
      <w:r>
        <w:t>Ibid</w:t>
      </w:r>
      <w:r w:rsidRPr="00F14BEA">
        <w:t>.</w:t>
      </w:r>
    </w:p>
  </w:endnote>
  <w:endnote w:id="2">
    <w:p w:rsidR="00C9025D" w:rsidRDefault="00C9025D" w:rsidP="00C9025D">
      <w:pPr>
        <w:pStyle w:val="EndnoteText"/>
      </w:pPr>
      <w:r>
        <w:rPr>
          <w:rStyle w:val="EndnoteReference"/>
        </w:rPr>
        <w:endnoteRef/>
      </w:r>
      <w:r>
        <w:t xml:space="preserve"> </w:t>
      </w:r>
      <w:r w:rsidR="00B613C4" w:rsidRPr="00B613C4">
        <w:t xml:space="preserve">RCW 70.95.010 </w:t>
      </w:r>
      <w:r w:rsidR="00B613C4">
        <w:t>http</w:t>
      </w:r>
      <w:r w:rsidRPr="009777C1">
        <w:t>://apps.leg.wa.gov/rcw/default.aspx?cite=70.95.010</w:t>
      </w:r>
      <w:r w:rsidR="00B613C4">
        <w:t>.</w:t>
      </w:r>
    </w:p>
  </w:endnote>
  <w:endnote w:id="3">
    <w:p w:rsidR="0095273D" w:rsidRPr="00012F83" w:rsidRDefault="0095273D" w:rsidP="00012F83">
      <w:pPr>
        <w:pStyle w:val="EndnoteText"/>
        <w:tabs>
          <w:tab w:val="left" w:pos="180"/>
        </w:tabs>
        <w:ind w:left="180" w:hanging="180"/>
      </w:pPr>
      <w:r w:rsidRPr="00012F83">
        <w:rPr>
          <w:rStyle w:val="EndnoteReference"/>
        </w:rPr>
        <w:endnoteRef/>
      </w:r>
      <w:r w:rsidRPr="00012F83">
        <w:t xml:space="preserve"> </w:t>
      </w:r>
      <w:r w:rsidRPr="00012F83">
        <w:tab/>
        <w:t xml:space="preserve">U.S. EPA, “Paintings &amp; Coatings At A Glance: 1996-2005,” </w:t>
      </w:r>
      <w:r w:rsidRPr="00012F83">
        <w:rPr>
          <w:i/>
        </w:rPr>
        <w:t>2008 Sector Performance Report</w:t>
      </w:r>
      <w:r w:rsidRPr="00012F83">
        <w:t xml:space="preserve">. 2008. </w:t>
      </w:r>
      <w:hyperlink r:id="rId1" w:history="1">
        <w:r w:rsidRPr="00B613C4">
          <w:rPr>
            <w:rStyle w:val="Hyperlink"/>
          </w:rPr>
          <w:t>http://www.epa.gov/sectors/pdf/2008/paint_coatings.pdf</w:t>
        </w:r>
      </w:hyperlink>
      <w:r w:rsidRPr="00012F83">
        <w:t>.</w:t>
      </w:r>
    </w:p>
  </w:endnote>
  <w:endnote w:id="4">
    <w:p w:rsidR="002475E4" w:rsidRDefault="002475E4" w:rsidP="002475E4">
      <w:pPr>
        <w:pStyle w:val="EndnoteText"/>
        <w:tabs>
          <w:tab w:val="left" w:pos="180"/>
        </w:tabs>
        <w:ind w:left="180" w:hanging="180"/>
      </w:pPr>
      <w:r>
        <w:rPr>
          <w:rStyle w:val="EndnoteReference"/>
        </w:rPr>
        <w:endnoteRef/>
      </w:r>
      <w:r>
        <w:t xml:space="preserve"> </w:t>
      </w:r>
      <w:r>
        <w:tab/>
        <w:t xml:space="preserve">K. Rumchev et al., “Association of domestic exposure to volatile organic compounds with asthma in young children,” </w:t>
      </w:r>
      <w:r>
        <w:rPr>
          <w:i/>
        </w:rPr>
        <w:t>Thorax</w:t>
      </w:r>
      <w:r>
        <w:t xml:space="preserve"> 59 (2004): 746-751.</w:t>
      </w:r>
    </w:p>
  </w:endnote>
  <w:endnote w:id="5">
    <w:p w:rsidR="0095273D" w:rsidRPr="0095273D" w:rsidRDefault="0095273D" w:rsidP="0095273D">
      <w:pPr>
        <w:pStyle w:val="EndnoteText"/>
        <w:tabs>
          <w:tab w:val="left" w:pos="180"/>
        </w:tabs>
        <w:ind w:left="180" w:hanging="180"/>
      </w:pPr>
      <w:r w:rsidRPr="009D6AD2">
        <w:rPr>
          <w:rStyle w:val="EndnoteReference"/>
        </w:rPr>
        <w:endnoteRef/>
      </w:r>
      <w:r w:rsidRPr="009D6AD2">
        <w:t xml:space="preserve">  </w:t>
      </w:r>
      <w:r w:rsidRPr="009D6AD2">
        <w:rPr>
          <w:u w:val="single"/>
        </w:rPr>
        <w:t>Medline</w:t>
      </w:r>
      <w:r w:rsidRPr="009D6AD2">
        <w:t xml:space="preserve">. U.S. National Library of Medicine, National Institutes of Health. </w:t>
      </w:r>
      <w:hyperlink r:id="rId2" w:history="1">
        <w:r w:rsidRPr="00B613C4">
          <w:rPr>
            <w:rStyle w:val="Hyperlink"/>
          </w:rPr>
          <w:t>http://www.nlm.nih.gov/medlineplus/ency/article/002730.htm</w:t>
        </w:r>
      </w:hyperlink>
      <w:r w:rsidR="009D6AD2" w:rsidRPr="009D6AD2">
        <w:rPr>
          <w:rStyle w:val="Hyperlink"/>
          <w:u w:val="none"/>
        </w:rPr>
        <w:t xml:space="preserve"> </w:t>
      </w:r>
      <w:r w:rsidR="009D6AD2" w:rsidRPr="009D6AD2">
        <w:rPr>
          <w:rStyle w:val="Hyperlink"/>
          <w:color w:val="auto"/>
          <w:u w:val="none"/>
        </w:rPr>
        <w:t>(accessed September 25, 2012).</w:t>
      </w:r>
    </w:p>
  </w:endnote>
  <w:endnote w:id="6">
    <w:p w:rsidR="0095273D" w:rsidRPr="00F14BEA" w:rsidRDefault="0095273D" w:rsidP="00F14BEA">
      <w:pPr>
        <w:pStyle w:val="EndnoteText"/>
        <w:tabs>
          <w:tab w:val="left" w:pos="180"/>
        </w:tabs>
        <w:ind w:left="180" w:hanging="180"/>
      </w:pPr>
      <w:r w:rsidRPr="00F14BEA">
        <w:rPr>
          <w:rStyle w:val="EndnoteReference"/>
        </w:rPr>
        <w:endnoteRef/>
      </w:r>
      <w:r w:rsidR="00EC6477">
        <w:t xml:space="preserve"> </w:t>
      </w:r>
      <w:r w:rsidR="00EC6477">
        <w:tab/>
        <w:t xml:space="preserve">Abt Associates Inc., </w:t>
      </w:r>
      <w:r w:rsidRPr="00EC6477">
        <w:rPr>
          <w:i/>
        </w:rPr>
        <w:t>Quantifying the Disposal of Post-Consumer Architectural Paint</w:t>
      </w:r>
      <w:r w:rsidR="009D6AD2">
        <w:t>.</w:t>
      </w:r>
      <w:r w:rsidRPr="00F14BEA">
        <w:t xml:space="preserve"> </w:t>
      </w:r>
      <w:r w:rsidR="009D6AD2">
        <w:t>P</w:t>
      </w:r>
      <w:r w:rsidRPr="00F14BEA">
        <w:t xml:space="preserve">repared for the U.S. EPA, 2007. Available at </w:t>
      </w:r>
      <w:hyperlink r:id="rId3" w:history="1">
        <w:r w:rsidRPr="00B613C4">
          <w:rPr>
            <w:rStyle w:val="Hyperlink"/>
          </w:rPr>
          <w:t>http://www.epa.gov/sectors/pdf/paint_quantity_report.pdf</w:t>
        </w:r>
      </w:hyperlink>
      <w:r w:rsidRPr="00F14BEA">
        <w:t>.</w:t>
      </w:r>
    </w:p>
  </w:endnote>
  <w:endnote w:id="7">
    <w:p w:rsidR="0095273D" w:rsidRPr="00F14BEA" w:rsidRDefault="0095273D" w:rsidP="00F14BEA">
      <w:pPr>
        <w:pStyle w:val="EndnoteText"/>
        <w:tabs>
          <w:tab w:val="left" w:pos="180"/>
        </w:tabs>
        <w:ind w:left="180" w:hanging="180"/>
      </w:pPr>
      <w:r w:rsidRPr="00F14BEA">
        <w:rPr>
          <w:rStyle w:val="EndnoteReference"/>
        </w:rPr>
        <w:endnoteRef/>
      </w:r>
      <w:r w:rsidRPr="00F14BEA">
        <w:t xml:space="preserve"> </w:t>
      </w:r>
      <w:r w:rsidRPr="00F14BEA">
        <w:tab/>
        <w:t xml:space="preserve">Cascadia Consulting Group, </w:t>
      </w:r>
      <w:r w:rsidRPr="00EC6477">
        <w:rPr>
          <w:i/>
        </w:rPr>
        <w:t>Leftover Paint Management in Washington: A Comparative Analysis of Performance, Costs, and Economic Impacts of the Existing System and a Mo</w:t>
      </w:r>
      <w:r w:rsidR="00EC6477" w:rsidRPr="00EC6477">
        <w:rPr>
          <w:i/>
        </w:rPr>
        <w:t>del Product Stewardship System</w:t>
      </w:r>
      <w:r w:rsidR="009D6AD2">
        <w:t>. P</w:t>
      </w:r>
      <w:r w:rsidRPr="00F14BEA">
        <w:t>repared for the Northwest Product Stewardship Council, October 2012.</w:t>
      </w:r>
      <w:r w:rsidR="009F2363">
        <w:t xml:space="preserve"> </w:t>
      </w:r>
      <w:hyperlink r:id="rId4" w:history="1">
        <w:r w:rsidR="009F2363" w:rsidRPr="009F2363">
          <w:rPr>
            <w:rStyle w:val="Hyperlink"/>
          </w:rPr>
          <w:t>http://productstewardship.net/sites/default/files/Docs/paint/paint-mgmt-in-wa-2013.pdf</w:t>
        </w:r>
      </w:hyperlink>
      <w:r w:rsidR="00B613C4">
        <w:t>.</w:t>
      </w:r>
    </w:p>
  </w:endnote>
  <w:endnote w:id="8">
    <w:p w:rsidR="008430C2" w:rsidRPr="00F14BEA" w:rsidRDefault="008430C2" w:rsidP="008430C2">
      <w:pPr>
        <w:pStyle w:val="EndnoteText"/>
        <w:tabs>
          <w:tab w:val="left" w:pos="180"/>
        </w:tabs>
        <w:ind w:left="180" w:hanging="180"/>
      </w:pPr>
      <w:r w:rsidRPr="00F14BEA">
        <w:rPr>
          <w:rStyle w:val="EndnoteReference"/>
        </w:rPr>
        <w:endnoteRef/>
      </w:r>
      <w:r w:rsidRPr="00F14BEA">
        <w:t xml:space="preserve"> </w:t>
      </w:r>
      <w:r w:rsidRPr="00F14BEA">
        <w:tab/>
      </w:r>
      <w:r>
        <w:t>Ibid</w:t>
      </w:r>
      <w:r w:rsidRPr="00F14BEA">
        <w:t>.</w:t>
      </w:r>
    </w:p>
  </w:endnote>
  <w:endnote w:id="9">
    <w:p w:rsidR="0095273D" w:rsidRPr="00F14BEA" w:rsidRDefault="0095273D" w:rsidP="00F14BEA">
      <w:pPr>
        <w:pStyle w:val="EndnoteText"/>
        <w:tabs>
          <w:tab w:val="left" w:pos="180"/>
        </w:tabs>
        <w:ind w:left="180" w:hanging="180"/>
      </w:pPr>
      <w:r w:rsidRPr="00F14BEA">
        <w:rPr>
          <w:rStyle w:val="EndnoteReference"/>
        </w:rPr>
        <w:endnoteRef/>
      </w:r>
      <w:r w:rsidRPr="00F14BEA">
        <w:t xml:space="preserve"> </w:t>
      </w:r>
      <w:r w:rsidRPr="00F14BEA">
        <w:tab/>
      </w:r>
      <w:r w:rsidR="009D6AD2">
        <w:t xml:space="preserve">Product Stewardship Institute, </w:t>
      </w:r>
      <w:r w:rsidR="00292FEA">
        <w:rPr>
          <w:i/>
        </w:rPr>
        <w:t xml:space="preserve">Second Paint </w:t>
      </w:r>
      <w:r w:rsidR="009D6AD2" w:rsidRPr="009D6AD2">
        <w:rPr>
          <w:i/>
        </w:rPr>
        <w:t>Memorandum of Understanding</w:t>
      </w:r>
      <w:r w:rsidR="009D6AD2">
        <w:t>.</w:t>
      </w:r>
      <w:r w:rsidR="00292FEA">
        <w:t xml:space="preserve"> October, 2007</w:t>
      </w:r>
      <w:r w:rsidRPr="00F14BEA">
        <w:t xml:space="preserve">. </w:t>
      </w:r>
      <w:hyperlink r:id="rId5" w:history="1">
        <w:r w:rsidR="006F5BEF" w:rsidRPr="00576A2D">
          <w:rPr>
            <w:rStyle w:val="Hyperlink"/>
          </w:rPr>
          <w:t>http://productstewardship.us/displaycommon.cfm?an=1&amp;subarticlenbr=118</w:t>
        </w:r>
      </w:hyperlink>
      <w:r w:rsidRPr="00F14BEA">
        <w:t>.</w:t>
      </w:r>
    </w:p>
    <w:p w:rsidR="0095273D" w:rsidRPr="00F14BEA" w:rsidRDefault="0095273D" w:rsidP="00F14BEA">
      <w:pPr>
        <w:pStyle w:val="EndnoteText"/>
        <w:tabs>
          <w:tab w:val="left" w:pos="180"/>
        </w:tabs>
        <w:ind w:left="180" w:hanging="180"/>
      </w:pPr>
    </w:p>
    <w:p w:rsidR="0095273D" w:rsidRDefault="0095273D" w:rsidP="00B33F3C">
      <w:pPr>
        <w:pStyle w:val="EndnoteText"/>
        <w:tabs>
          <w:tab w:val="left" w:pos="180"/>
        </w:tabs>
        <w:ind w:left="180" w:hanging="180"/>
      </w:pPr>
    </w:p>
    <w:p w:rsidR="0095273D" w:rsidRDefault="0095273D" w:rsidP="00B33F3C">
      <w:pPr>
        <w:pStyle w:val="EndnoteText"/>
        <w:tabs>
          <w:tab w:val="left" w:pos="180"/>
        </w:tabs>
        <w:ind w:left="180" w:hanging="180"/>
      </w:pPr>
    </w:p>
    <w:p w:rsidR="0095273D" w:rsidRDefault="0095273D" w:rsidP="00B33F3C">
      <w:pPr>
        <w:pStyle w:val="EndnoteText"/>
        <w:tabs>
          <w:tab w:val="left" w:pos="180"/>
        </w:tabs>
        <w:ind w:left="180" w:hanging="180"/>
      </w:pPr>
    </w:p>
    <w:p w:rsidR="0095273D" w:rsidRDefault="0095273D" w:rsidP="00B33F3C">
      <w:pPr>
        <w:pStyle w:val="EndnoteText"/>
        <w:tabs>
          <w:tab w:val="left" w:pos="180"/>
        </w:tabs>
        <w:ind w:left="180" w:hanging="180"/>
      </w:pPr>
    </w:p>
    <w:p w:rsidR="0095273D" w:rsidRDefault="0095273D" w:rsidP="00B33F3C">
      <w:pPr>
        <w:pStyle w:val="EndnoteText"/>
        <w:tabs>
          <w:tab w:val="left" w:pos="180"/>
        </w:tabs>
        <w:ind w:left="180" w:hanging="180"/>
      </w:pPr>
    </w:p>
    <w:p w:rsidR="0095273D" w:rsidRDefault="0095273D" w:rsidP="00B33F3C">
      <w:pPr>
        <w:pStyle w:val="EndnoteText"/>
        <w:tabs>
          <w:tab w:val="left" w:pos="180"/>
        </w:tabs>
        <w:ind w:left="180" w:hanging="180"/>
      </w:pPr>
    </w:p>
    <w:p w:rsidR="0095273D" w:rsidRDefault="0095273D" w:rsidP="00B33F3C">
      <w:pPr>
        <w:pStyle w:val="EndnoteText"/>
        <w:tabs>
          <w:tab w:val="left" w:pos="180"/>
        </w:tabs>
        <w:ind w:left="180" w:hanging="1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3D" w:rsidRDefault="0095273D" w:rsidP="00D0142D">
    <w:pPr>
      <w:pStyle w:val="Footer"/>
    </w:pPr>
    <w:r w:rsidRPr="00DE177D">
      <w:t xml:space="preserve">Developed by the Northwest Product Stewardship Council.  </w:t>
    </w:r>
    <w:r w:rsidR="0043287A">
      <w:t xml:space="preserve">August </w:t>
    </w:r>
    <w:r w:rsidRPr="00DE177D">
      <w:t>201</w:t>
    </w:r>
    <w:r w:rsidR="0043287A">
      <w:t>4</w:t>
    </w:r>
    <w:r w:rsidRPr="00DE177D">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141" w:rsidRDefault="00544141" w:rsidP="00085928">
      <w:pPr>
        <w:spacing w:after="0" w:line="240" w:lineRule="auto"/>
      </w:pPr>
      <w:r>
        <w:separator/>
      </w:r>
    </w:p>
  </w:footnote>
  <w:footnote w:type="continuationSeparator" w:id="0">
    <w:p w:rsidR="00544141" w:rsidRDefault="00544141" w:rsidP="000859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3D" w:rsidRDefault="005441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6257" o:spid="_x0000_s2050" type="#_x0000_t136" style="position:absolute;margin-left:0;margin-top:0;width:439.9pt;height:219.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3D" w:rsidRPr="00DE177D" w:rsidRDefault="00544141" w:rsidP="00DE177D">
    <w:pPr>
      <w:pStyle w:val="Header"/>
      <w:jc w:val="center"/>
      <w:rPr>
        <w:rFonts w:asciiTheme="minorHAnsi" w:hAnsiTheme="minorHAnsi" w:cstheme="minorHAnsi"/>
        <w:b/>
        <w:sz w:val="2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6258" o:spid="_x0000_s2051" type="#_x0000_t136" style="position:absolute;left:0;text-align:left;margin-left:0;margin-top:0;width:439.9pt;height:219.9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95273D" w:rsidRPr="00845B86">
      <w:rPr>
        <w:rFonts w:asciiTheme="minorHAnsi" w:hAnsiTheme="minorHAnsi" w:cstheme="minorHAnsi"/>
        <w:b/>
        <w:color w:val="FF0000"/>
        <w:sz w:val="28"/>
        <w:szCs w:val="22"/>
      </w:rPr>
      <w:t xml:space="preserve">Sample </w:t>
    </w:r>
    <w:r w:rsidR="0095273D" w:rsidRPr="00DE177D">
      <w:rPr>
        <w:rFonts w:asciiTheme="minorHAnsi" w:hAnsiTheme="minorHAnsi" w:cstheme="minorHAnsi"/>
        <w:b/>
        <w:sz w:val="28"/>
        <w:szCs w:val="22"/>
      </w:rPr>
      <w:t xml:space="preserve">Paint Product Stewardship Support Resolution </w:t>
    </w:r>
    <w:r w:rsidR="0095273D" w:rsidRPr="00DE177D">
      <w:rPr>
        <w:rFonts w:asciiTheme="minorHAnsi" w:hAnsiTheme="minorHAnsi" w:cstheme="minorHAnsi"/>
        <w:b/>
        <w:sz w:val="28"/>
        <w:szCs w:val="22"/>
      </w:rPr>
      <w:br/>
      <w:t xml:space="preserve">for </w:t>
    </w:r>
    <w:r w:rsidR="0043287A">
      <w:rPr>
        <w:rFonts w:asciiTheme="minorHAnsi" w:hAnsiTheme="minorHAnsi" w:cstheme="minorHAnsi"/>
        <w:b/>
        <w:sz w:val="28"/>
        <w:szCs w:val="22"/>
      </w:rPr>
      <w:t xml:space="preserve">King County </w:t>
    </w:r>
    <w:r w:rsidR="0095273D" w:rsidRPr="00DE177D">
      <w:rPr>
        <w:rFonts w:asciiTheme="minorHAnsi" w:hAnsiTheme="minorHAnsi" w:cstheme="minorHAnsi"/>
        <w:b/>
        <w:sz w:val="28"/>
        <w:szCs w:val="22"/>
      </w:rPr>
      <w:t>Local Governments in Washington State</w:t>
    </w:r>
  </w:p>
  <w:p w:rsidR="0095273D" w:rsidRDefault="0095273D">
    <w:pPr>
      <w:pStyle w:val="Header"/>
    </w:pPr>
  </w:p>
  <w:p w:rsidR="0095273D" w:rsidRDefault="009527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3D" w:rsidRDefault="005441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6256" o:spid="_x0000_s2049" type="#_x0000_t136" style="position:absolute;margin-left:0;margin-top:0;width:439.9pt;height:219.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C7E"/>
    <w:rsid w:val="00012F83"/>
    <w:rsid w:val="00025B29"/>
    <w:rsid w:val="00085928"/>
    <w:rsid w:val="00086AEB"/>
    <w:rsid w:val="0010304D"/>
    <w:rsid w:val="00105127"/>
    <w:rsid w:val="00127275"/>
    <w:rsid w:val="001435D5"/>
    <w:rsid w:val="001529C6"/>
    <w:rsid w:val="001B4019"/>
    <w:rsid w:val="0020456A"/>
    <w:rsid w:val="00216172"/>
    <w:rsid w:val="00223ACC"/>
    <w:rsid w:val="0022537D"/>
    <w:rsid w:val="002475E4"/>
    <w:rsid w:val="00250286"/>
    <w:rsid w:val="00265CAE"/>
    <w:rsid w:val="00287EC7"/>
    <w:rsid w:val="00292FEA"/>
    <w:rsid w:val="002D7904"/>
    <w:rsid w:val="002E49AA"/>
    <w:rsid w:val="003A7D68"/>
    <w:rsid w:val="003B7EC9"/>
    <w:rsid w:val="003F6B34"/>
    <w:rsid w:val="0043287A"/>
    <w:rsid w:val="00433A06"/>
    <w:rsid w:val="004515CD"/>
    <w:rsid w:val="0045457E"/>
    <w:rsid w:val="00485003"/>
    <w:rsid w:val="004A0A73"/>
    <w:rsid w:val="004C1A77"/>
    <w:rsid w:val="004E434C"/>
    <w:rsid w:val="0051635D"/>
    <w:rsid w:val="005258CC"/>
    <w:rsid w:val="00542BA1"/>
    <w:rsid w:val="00544141"/>
    <w:rsid w:val="0056274D"/>
    <w:rsid w:val="005C2AF6"/>
    <w:rsid w:val="0060167F"/>
    <w:rsid w:val="0063221C"/>
    <w:rsid w:val="0067570C"/>
    <w:rsid w:val="00675DEE"/>
    <w:rsid w:val="00681452"/>
    <w:rsid w:val="006B16BB"/>
    <w:rsid w:val="006B247F"/>
    <w:rsid w:val="006C24FA"/>
    <w:rsid w:val="006C73B4"/>
    <w:rsid w:val="006F5BEF"/>
    <w:rsid w:val="006F624A"/>
    <w:rsid w:val="0070213E"/>
    <w:rsid w:val="007206D2"/>
    <w:rsid w:val="00743313"/>
    <w:rsid w:val="00771329"/>
    <w:rsid w:val="007913C7"/>
    <w:rsid w:val="007C4C7E"/>
    <w:rsid w:val="007E3B34"/>
    <w:rsid w:val="00825705"/>
    <w:rsid w:val="008430C2"/>
    <w:rsid w:val="00845B86"/>
    <w:rsid w:val="00850E23"/>
    <w:rsid w:val="00852F8B"/>
    <w:rsid w:val="00877488"/>
    <w:rsid w:val="00890F1F"/>
    <w:rsid w:val="008A1CE8"/>
    <w:rsid w:val="008E7EB4"/>
    <w:rsid w:val="0090554D"/>
    <w:rsid w:val="0095273D"/>
    <w:rsid w:val="009545B2"/>
    <w:rsid w:val="00962D21"/>
    <w:rsid w:val="009777C1"/>
    <w:rsid w:val="009D0B1A"/>
    <w:rsid w:val="009D6AD2"/>
    <w:rsid w:val="009F2363"/>
    <w:rsid w:val="00A304CD"/>
    <w:rsid w:val="00A32A57"/>
    <w:rsid w:val="00A33A8A"/>
    <w:rsid w:val="00A45F7D"/>
    <w:rsid w:val="00AE1A13"/>
    <w:rsid w:val="00AF1F6C"/>
    <w:rsid w:val="00B21047"/>
    <w:rsid w:val="00B33F3C"/>
    <w:rsid w:val="00B613C4"/>
    <w:rsid w:val="00B9684F"/>
    <w:rsid w:val="00BA1A34"/>
    <w:rsid w:val="00BE57B9"/>
    <w:rsid w:val="00BF2165"/>
    <w:rsid w:val="00BF437D"/>
    <w:rsid w:val="00BF5D97"/>
    <w:rsid w:val="00C016B9"/>
    <w:rsid w:val="00C17BCC"/>
    <w:rsid w:val="00C313CA"/>
    <w:rsid w:val="00C54D2F"/>
    <w:rsid w:val="00C9025D"/>
    <w:rsid w:val="00CA0A93"/>
    <w:rsid w:val="00D0142D"/>
    <w:rsid w:val="00D2455B"/>
    <w:rsid w:val="00D24D51"/>
    <w:rsid w:val="00D24FEE"/>
    <w:rsid w:val="00D665C1"/>
    <w:rsid w:val="00D70D40"/>
    <w:rsid w:val="00DE177D"/>
    <w:rsid w:val="00E55B8A"/>
    <w:rsid w:val="00E909E2"/>
    <w:rsid w:val="00E94E5C"/>
    <w:rsid w:val="00EC6477"/>
    <w:rsid w:val="00F14BEA"/>
    <w:rsid w:val="00F52605"/>
    <w:rsid w:val="00F74C60"/>
    <w:rsid w:val="00F87623"/>
    <w:rsid w:val="00F97BE6"/>
    <w:rsid w:val="00FB537B"/>
    <w:rsid w:val="00FB5A6B"/>
    <w:rsid w:val="00FE0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85928"/>
    <w:pPr>
      <w:spacing w:after="0" w:line="240" w:lineRule="auto"/>
    </w:pPr>
    <w:rPr>
      <w:sz w:val="20"/>
      <w:szCs w:val="20"/>
    </w:rPr>
  </w:style>
  <w:style w:type="character" w:customStyle="1" w:styleId="FootnoteTextChar">
    <w:name w:val="Footnote Text Char"/>
    <w:basedOn w:val="DefaultParagraphFont"/>
    <w:link w:val="FootnoteText"/>
    <w:uiPriority w:val="99"/>
    <w:rsid w:val="00085928"/>
    <w:rPr>
      <w:sz w:val="20"/>
      <w:szCs w:val="20"/>
    </w:rPr>
  </w:style>
  <w:style w:type="character" w:styleId="FootnoteReference">
    <w:name w:val="footnote reference"/>
    <w:basedOn w:val="DefaultParagraphFont"/>
    <w:uiPriority w:val="99"/>
    <w:semiHidden/>
    <w:unhideWhenUsed/>
    <w:rsid w:val="00085928"/>
    <w:rPr>
      <w:vertAlign w:val="superscript"/>
    </w:rPr>
  </w:style>
  <w:style w:type="character" w:styleId="Hyperlink">
    <w:name w:val="Hyperlink"/>
    <w:basedOn w:val="DefaultParagraphFont"/>
    <w:uiPriority w:val="99"/>
    <w:unhideWhenUsed/>
    <w:rsid w:val="00085928"/>
    <w:rPr>
      <w:color w:val="0000FF" w:themeColor="hyperlink"/>
      <w:u w:val="single"/>
    </w:rPr>
  </w:style>
  <w:style w:type="paragraph" w:styleId="EndnoteText">
    <w:name w:val="endnote text"/>
    <w:basedOn w:val="Normal"/>
    <w:link w:val="EndnoteTextChar"/>
    <w:uiPriority w:val="99"/>
    <w:unhideWhenUsed/>
    <w:rsid w:val="006C73B4"/>
    <w:pPr>
      <w:spacing w:after="0" w:line="240" w:lineRule="auto"/>
    </w:pPr>
    <w:rPr>
      <w:sz w:val="20"/>
      <w:szCs w:val="20"/>
    </w:rPr>
  </w:style>
  <w:style w:type="character" w:customStyle="1" w:styleId="EndnoteTextChar">
    <w:name w:val="Endnote Text Char"/>
    <w:basedOn w:val="DefaultParagraphFont"/>
    <w:link w:val="EndnoteText"/>
    <w:uiPriority w:val="99"/>
    <w:rsid w:val="006C73B4"/>
    <w:rPr>
      <w:sz w:val="20"/>
      <w:szCs w:val="20"/>
    </w:rPr>
  </w:style>
  <w:style w:type="character" w:styleId="EndnoteReference">
    <w:name w:val="endnote reference"/>
    <w:basedOn w:val="DefaultParagraphFont"/>
    <w:uiPriority w:val="99"/>
    <w:semiHidden/>
    <w:unhideWhenUsed/>
    <w:rsid w:val="006C73B4"/>
    <w:rPr>
      <w:vertAlign w:val="superscript"/>
    </w:rPr>
  </w:style>
  <w:style w:type="character" w:styleId="FollowedHyperlink">
    <w:name w:val="FollowedHyperlink"/>
    <w:basedOn w:val="DefaultParagraphFont"/>
    <w:uiPriority w:val="99"/>
    <w:semiHidden/>
    <w:unhideWhenUsed/>
    <w:rsid w:val="0020456A"/>
    <w:rPr>
      <w:color w:val="800080" w:themeColor="followedHyperlink"/>
      <w:u w:val="single"/>
    </w:rPr>
  </w:style>
  <w:style w:type="paragraph" w:styleId="BalloonText">
    <w:name w:val="Balloon Text"/>
    <w:basedOn w:val="Normal"/>
    <w:link w:val="BalloonTextChar"/>
    <w:uiPriority w:val="99"/>
    <w:semiHidden/>
    <w:unhideWhenUsed/>
    <w:rsid w:val="00675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DEE"/>
    <w:rPr>
      <w:rFonts w:ascii="Tahoma" w:hAnsi="Tahoma" w:cs="Tahoma"/>
      <w:sz w:val="16"/>
      <w:szCs w:val="16"/>
    </w:rPr>
  </w:style>
  <w:style w:type="paragraph" w:customStyle="1" w:styleId="DefaultText">
    <w:name w:val="Default Text"/>
    <w:basedOn w:val="Normal"/>
    <w:rsid w:val="00B21047"/>
    <w:pPr>
      <w:spacing w:after="0" w:line="240" w:lineRule="auto"/>
    </w:pPr>
    <w:rPr>
      <w:rFonts w:ascii="Arial" w:eastAsia="Times New Roman" w:hAnsi="Arial" w:cs="Times New Roman"/>
      <w:snapToGrid w:val="0"/>
      <w:sz w:val="24"/>
      <w:szCs w:val="20"/>
    </w:rPr>
  </w:style>
  <w:style w:type="paragraph" w:styleId="Header">
    <w:name w:val="header"/>
    <w:basedOn w:val="Normal"/>
    <w:link w:val="HeaderChar"/>
    <w:uiPriority w:val="99"/>
    <w:rsid w:val="00B21047"/>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B21047"/>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BA1A34"/>
    <w:rPr>
      <w:sz w:val="16"/>
      <w:szCs w:val="16"/>
    </w:rPr>
  </w:style>
  <w:style w:type="paragraph" w:styleId="CommentText">
    <w:name w:val="annotation text"/>
    <w:basedOn w:val="Normal"/>
    <w:link w:val="CommentTextChar"/>
    <w:uiPriority w:val="99"/>
    <w:semiHidden/>
    <w:unhideWhenUsed/>
    <w:rsid w:val="00BA1A34"/>
    <w:pPr>
      <w:spacing w:line="240" w:lineRule="auto"/>
    </w:pPr>
    <w:rPr>
      <w:sz w:val="20"/>
      <w:szCs w:val="20"/>
    </w:rPr>
  </w:style>
  <w:style w:type="character" w:customStyle="1" w:styleId="CommentTextChar">
    <w:name w:val="Comment Text Char"/>
    <w:basedOn w:val="DefaultParagraphFont"/>
    <w:link w:val="CommentText"/>
    <w:uiPriority w:val="99"/>
    <w:semiHidden/>
    <w:rsid w:val="00BA1A34"/>
    <w:rPr>
      <w:sz w:val="20"/>
      <w:szCs w:val="20"/>
    </w:rPr>
  </w:style>
  <w:style w:type="paragraph" w:styleId="CommentSubject">
    <w:name w:val="annotation subject"/>
    <w:basedOn w:val="CommentText"/>
    <w:next w:val="CommentText"/>
    <w:link w:val="CommentSubjectChar"/>
    <w:uiPriority w:val="99"/>
    <w:semiHidden/>
    <w:unhideWhenUsed/>
    <w:rsid w:val="00BA1A34"/>
    <w:rPr>
      <w:b/>
      <w:bCs/>
    </w:rPr>
  </w:style>
  <w:style w:type="character" w:customStyle="1" w:styleId="CommentSubjectChar">
    <w:name w:val="Comment Subject Char"/>
    <w:basedOn w:val="CommentTextChar"/>
    <w:link w:val="CommentSubject"/>
    <w:uiPriority w:val="99"/>
    <w:semiHidden/>
    <w:rsid w:val="00BA1A34"/>
    <w:rPr>
      <w:b/>
      <w:bCs/>
      <w:sz w:val="20"/>
      <w:szCs w:val="20"/>
    </w:rPr>
  </w:style>
  <w:style w:type="paragraph" w:customStyle="1" w:styleId="Default">
    <w:name w:val="Default"/>
    <w:rsid w:val="00FB5A6B"/>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DE1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7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85928"/>
    <w:pPr>
      <w:spacing w:after="0" w:line="240" w:lineRule="auto"/>
    </w:pPr>
    <w:rPr>
      <w:sz w:val="20"/>
      <w:szCs w:val="20"/>
    </w:rPr>
  </w:style>
  <w:style w:type="character" w:customStyle="1" w:styleId="FootnoteTextChar">
    <w:name w:val="Footnote Text Char"/>
    <w:basedOn w:val="DefaultParagraphFont"/>
    <w:link w:val="FootnoteText"/>
    <w:uiPriority w:val="99"/>
    <w:rsid w:val="00085928"/>
    <w:rPr>
      <w:sz w:val="20"/>
      <w:szCs w:val="20"/>
    </w:rPr>
  </w:style>
  <w:style w:type="character" w:styleId="FootnoteReference">
    <w:name w:val="footnote reference"/>
    <w:basedOn w:val="DefaultParagraphFont"/>
    <w:uiPriority w:val="99"/>
    <w:semiHidden/>
    <w:unhideWhenUsed/>
    <w:rsid w:val="00085928"/>
    <w:rPr>
      <w:vertAlign w:val="superscript"/>
    </w:rPr>
  </w:style>
  <w:style w:type="character" w:styleId="Hyperlink">
    <w:name w:val="Hyperlink"/>
    <w:basedOn w:val="DefaultParagraphFont"/>
    <w:uiPriority w:val="99"/>
    <w:unhideWhenUsed/>
    <w:rsid w:val="00085928"/>
    <w:rPr>
      <w:color w:val="0000FF" w:themeColor="hyperlink"/>
      <w:u w:val="single"/>
    </w:rPr>
  </w:style>
  <w:style w:type="paragraph" w:styleId="EndnoteText">
    <w:name w:val="endnote text"/>
    <w:basedOn w:val="Normal"/>
    <w:link w:val="EndnoteTextChar"/>
    <w:uiPriority w:val="99"/>
    <w:unhideWhenUsed/>
    <w:rsid w:val="006C73B4"/>
    <w:pPr>
      <w:spacing w:after="0" w:line="240" w:lineRule="auto"/>
    </w:pPr>
    <w:rPr>
      <w:sz w:val="20"/>
      <w:szCs w:val="20"/>
    </w:rPr>
  </w:style>
  <w:style w:type="character" w:customStyle="1" w:styleId="EndnoteTextChar">
    <w:name w:val="Endnote Text Char"/>
    <w:basedOn w:val="DefaultParagraphFont"/>
    <w:link w:val="EndnoteText"/>
    <w:uiPriority w:val="99"/>
    <w:rsid w:val="006C73B4"/>
    <w:rPr>
      <w:sz w:val="20"/>
      <w:szCs w:val="20"/>
    </w:rPr>
  </w:style>
  <w:style w:type="character" w:styleId="EndnoteReference">
    <w:name w:val="endnote reference"/>
    <w:basedOn w:val="DefaultParagraphFont"/>
    <w:uiPriority w:val="99"/>
    <w:semiHidden/>
    <w:unhideWhenUsed/>
    <w:rsid w:val="006C73B4"/>
    <w:rPr>
      <w:vertAlign w:val="superscript"/>
    </w:rPr>
  </w:style>
  <w:style w:type="character" w:styleId="FollowedHyperlink">
    <w:name w:val="FollowedHyperlink"/>
    <w:basedOn w:val="DefaultParagraphFont"/>
    <w:uiPriority w:val="99"/>
    <w:semiHidden/>
    <w:unhideWhenUsed/>
    <w:rsid w:val="0020456A"/>
    <w:rPr>
      <w:color w:val="800080" w:themeColor="followedHyperlink"/>
      <w:u w:val="single"/>
    </w:rPr>
  </w:style>
  <w:style w:type="paragraph" w:styleId="BalloonText">
    <w:name w:val="Balloon Text"/>
    <w:basedOn w:val="Normal"/>
    <w:link w:val="BalloonTextChar"/>
    <w:uiPriority w:val="99"/>
    <w:semiHidden/>
    <w:unhideWhenUsed/>
    <w:rsid w:val="00675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DEE"/>
    <w:rPr>
      <w:rFonts w:ascii="Tahoma" w:hAnsi="Tahoma" w:cs="Tahoma"/>
      <w:sz w:val="16"/>
      <w:szCs w:val="16"/>
    </w:rPr>
  </w:style>
  <w:style w:type="paragraph" w:customStyle="1" w:styleId="DefaultText">
    <w:name w:val="Default Text"/>
    <w:basedOn w:val="Normal"/>
    <w:rsid w:val="00B21047"/>
    <w:pPr>
      <w:spacing w:after="0" w:line="240" w:lineRule="auto"/>
    </w:pPr>
    <w:rPr>
      <w:rFonts w:ascii="Arial" w:eastAsia="Times New Roman" w:hAnsi="Arial" w:cs="Times New Roman"/>
      <w:snapToGrid w:val="0"/>
      <w:sz w:val="24"/>
      <w:szCs w:val="20"/>
    </w:rPr>
  </w:style>
  <w:style w:type="paragraph" w:styleId="Header">
    <w:name w:val="header"/>
    <w:basedOn w:val="Normal"/>
    <w:link w:val="HeaderChar"/>
    <w:uiPriority w:val="99"/>
    <w:rsid w:val="00B21047"/>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B21047"/>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BA1A34"/>
    <w:rPr>
      <w:sz w:val="16"/>
      <w:szCs w:val="16"/>
    </w:rPr>
  </w:style>
  <w:style w:type="paragraph" w:styleId="CommentText">
    <w:name w:val="annotation text"/>
    <w:basedOn w:val="Normal"/>
    <w:link w:val="CommentTextChar"/>
    <w:uiPriority w:val="99"/>
    <w:semiHidden/>
    <w:unhideWhenUsed/>
    <w:rsid w:val="00BA1A34"/>
    <w:pPr>
      <w:spacing w:line="240" w:lineRule="auto"/>
    </w:pPr>
    <w:rPr>
      <w:sz w:val="20"/>
      <w:szCs w:val="20"/>
    </w:rPr>
  </w:style>
  <w:style w:type="character" w:customStyle="1" w:styleId="CommentTextChar">
    <w:name w:val="Comment Text Char"/>
    <w:basedOn w:val="DefaultParagraphFont"/>
    <w:link w:val="CommentText"/>
    <w:uiPriority w:val="99"/>
    <w:semiHidden/>
    <w:rsid w:val="00BA1A34"/>
    <w:rPr>
      <w:sz w:val="20"/>
      <w:szCs w:val="20"/>
    </w:rPr>
  </w:style>
  <w:style w:type="paragraph" w:styleId="CommentSubject">
    <w:name w:val="annotation subject"/>
    <w:basedOn w:val="CommentText"/>
    <w:next w:val="CommentText"/>
    <w:link w:val="CommentSubjectChar"/>
    <w:uiPriority w:val="99"/>
    <w:semiHidden/>
    <w:unhideWhenUsed/>
    <w:rsid w:val="00BA1A34"/>
    <w:rPr>
      <w:b/>
      <w:bCs/>
    </w:rPr>
  </w:style>
  <w:style w:type="character" w:customStyle="1" w:styleId="CommentSubjectChar">
    <w:name w:val="Comment Subject Char"/>
    <w:basedOn w:val="CommentTextChar"/>
    <w:link w:val="CommentSubject"/>
    <w:uiPriority w:val="99"/>
    <w:semiHidden/>
    <w:rsid w:val="00BA1A34"/>
    <w:rPr>
      <w:b/>
      <w:bCs/>
      <w:sz w:val="20"/>
      <w:szCs w:val="20"/>
    </w:rPr>
  </w:style>
  <w:style w:type="paragraph" w:customStyle="1" w:styleId="Default">
    <w:name w:val="Default"/>
    <w:rsid w:val="00FB5A6B"/>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DE1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50919">
      <w:bodyDiv w:val="1"/>
      <w:marLeft w:val="0"/>
      <w:marRight w:val="0"/>
      <w:marTop w:val="0"/>
      <w:marBottom w:val="0"/>
      <w:divBdr>
        <w:top w:val="none" w:sz="0" w:space="0" w:color="auto"/>
        <w:left w:val="none" w:sz="0" w:space="0" w:color="auto"/>
        <w:bottom w:val="none" w:sz="0" w:space="0" w:color="auto"/>
        <w:right w:val="none" w:sz="0" w:space="0" w:color="auto"/>
      </w:divBdr>
    </w:div>
    <w:div w:id="1689788853">
      <w:bodyDiv w:val="1"/>
      <w:marLeft w:val="0"/>
      <w:marRight w:val="0"/>
      <w:marTop w:val="0"/>
      <w:marBottom w:val="0"/>
      <w:divBdr>
        <w:top w:val="none" w:sz="0" w:space="0" w:color="auto"/>
        <w:left w:val="none" w:sz="0" w:space="0" w:color="auto"/>
        <w:bottom w:val="none" w:sz="0" w:space="0" w:color="auto"/>
        <w:right w:val="none" w:sz="0" w:space="0" w:color="auto"/>
      </w:divBdr>
    </w:div>
    <w:div w:id="195463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www.epa.gov/sectors/pdf/paint_quantity_report.pdf" TargetMode="External"/><Relationship Id="rId2" Type="http://schemas.openxmlformats.org/officeDocument/2006/relationships/hyperlink" Target="http://www.nlm.nih.gov/medlineplus/ency/article/002730.htm" TargetMode="External"/><Relationship Id="rId1" Type="http://schemas.openxmlformats.org/officeDocument/2006/relationships/hyperlink" Target="http://www.epa.gov/sectors/pdf/2008/paint_coatings.pdf" TargetMode="External"/><Relationship Id="rId5" Type="http://schemas.openxmlformats.org/officeDocument/2006/relationships/hyperlink" Target="http://productstewardship.us/displaycommon.cfm?an=1&amp;subarticlenbr=118" TargetMode="External"/><Relationship Id="rId4" Type="http://schemas.openxmlformats.org/officeDocument/2006/relationships/hyperlink" Target="http://productstewardship.net/sites/default/files/Docs/paint/paint-mgmt-in-wa-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046F9-461D-45D4-AA75-4D6FEF654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Sample Resolution in Support of Product Stewardship Legislation for Paint in King County Washington</vt:lpstr>
    </vt:vector>
  </TitlesOfParts>
  <Company>Cascadia Consulting Group, Inc.</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Resolution in Support of Product Stewardship Legislation for Paint in King County Washington</dc:title>
  <dc:creator>Mendy.Droke@kingcounty.gov</dc:creator>
  <cp:lastModifiedBy>Erzen, Alex</cp:lastModifiedBy>
  <cp:revision>2</cp:revision>
  <cp:lastPrinted>2014-08-05T20:50:00Z</cp:lastPrinted>
  <dcterms:created xsi:type="dcterms:W3CDTF">2014-08-11T17:00:00Z</dcterms:created>
  <dcterms:modified xsi:type="dcterms:W3CDTF">2014-08-11T17:00:00Z</dcterms:modified>
</cp:coreProperties>
</file>